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69C6" w14:textId="77777777" w:rsidR="004552C7" w:rsidRDefault="004552C7"/>
    <w:p w14:paraId="3E6AF0B5" w14:textId="77777777" w:rsidR="00C95301" w:rsidRDefault="00C95301"/>
    <w:p w14:paraId="327BF702" w14:textId="77777777" w:rsidR="00C95301" w:rsidRPr="00C95301" w:rsidRDefault="00C95301" w:rsidP="00C95301">
      <w:pPr>
        <w:widowControl/>
        <w:shd w:val="clear" w:color="auto" w:fill="FFFFFF"/>
        <w:jc w:val="center"/>
        <w:rPr>
          <w:rFonts w:ascii="Arial" w:eastAsia="宋体" w:hAnsi="Arial" w:cs="Arial"/>
          <w:b/>
          <w:bCs/>
          <w:color w:val="666666"/>
          <w:kern w:val="0"/>
          <w:sz w:val="42"/>
          <w:szCs w:val="42"/>
          <w14:ligatures w14:val="none"/>
        </w:rPr>
      </w:pPr>
      <w:r w:rsidRPr="00C95301">
        <w:rPr>
          <w:rFonts w:ascii="Arial" w:eastAsia="宋体" w:hAnsi="Arial" w:cs="Arial"/>
          <w:b/>
          <w:bCs/>
          <w:color w:val="666666"/>
          <w:kern w:val="0"/>
          <w:sz w:val="42"/>
          <w:szCs w:val="42"/>
          <w14:ligatures w14:val="none"/>
        </w:rPr>
        <w:t>Exhibition Information</w:t>
      </w:r>
    </w:p>
    <w:tbl>
      <w:tblPr>
        <w:tblW w:w="5000" w:type="pct"/>
        <w:tblCellMar>
          <w:top w:w="15" w:type="dxa"/>
          <w:left w:w="15" w:type="dxa"/>
          <w:bottom w:w="15" w:type="dxa"/>
          <w:right w:w="15" w:type="dxa"/>
        </w:tblCellMar>
        <w:tblLook w:val="04A0" w:firstRow="1" w:lastRow="0" w:firstColumn="1" w:lastColumn="0" w:noHBand="0" w:noVBand="1"/>
      </w:tblPr>
      <w:tblGrid>
        <w:gridCol w:w="1721"/>
        <w:gridCol w:w="6885"/>
      </w:tblGrid>
      <w:tr w:rsidR="00C95301" w:rsidRPr="00C95301" w14:paraId="6069BF42" w14:textId="77777777" w:rsidTr="00C95301">
        <w:tc>
          <w:tcPr>
            <w:tcW w:w="1000" w:type="pct"/>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58BFCE02"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Show Name:</w:t>
            </w:r>
          </w:p>
        </w:tc>
        <w:tc>
          <w:tcPr>
            <w:tcW w:w="0" w:type="auto"/>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514F0B1A"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Beijing International Hydrogen Technology &amp; Equipment Exhibition</w:t>
            </w:r>
          </w:p>
        </w:tc>
      </w:tr>
      <w:tr w:rsidR="00C95301" w:rsidRPr="00C95301" w14:paraId="41F20DA9" w14:textId="77777777" w:rsidTr="00C95301">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vAlign w:val="center"/>
            <w:hideMark/>
          </w:tcPr>
          <w:p w14:paraId="53DB2682"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Show Dates: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vAlign w:val="center"/>
            <w:hideMark/>
          </w:tcPr>
          <w:p w14:paraId="196139C6"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March 26-28,2025</w:t>
            </w:r>
          </w:p>
        </w:tc>
      </w:tr>
      <w:tr w:rsidR="00C95301" w:rsidRPr="00C95301" w14:paraId="48BCAF75" w14:textId="77777777" w:rsidTr="00C95301">
        <w:tc>
          <w:tcPr>
            <w:tcW w:w="0" w:type="auto"/>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7E02F717"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Venue：</w:t>
            </w:r>
          </w:p>
        </w:tc>
        <w:tc>
          <w:tcPr>
            <w:tcW w:w="0" w:type="auto"/>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52CE205F"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New China International Exhibition Center, Beijing</w:t>
            </w:r>
          </w:p>
        </w:tc>
      </w:tr>
      <w:tr w:rsidR="00C95301" w:rsidRPr="00C95301" w14:paraId="051448B5" w14:textId="77777777" w:rsidTr="00C95301">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vAlign w:val="center"/>
            <w:hideMark/>
          </w:tcPr>
          <w:p w14:paraId="09A3F845"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Sponsors: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vAlign w:val="center"/>
            <w:hideMark/>
          </w:tcPr>
          <w:p w14:paraId="72781D98"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China Energy Research Society</w:t>
            </w:r>
            <w:r w:rsidRPr="00C95301">
              <w:rPr>
                <w:rFonts w:ascii="宋体" w:eastAsia="宋体" w:hAnsi="宋体" w:cs="宋体"/>
                <w:color w:val="333333"/>
                <w:kern w:val="0"/>
                <w:sz w:val="24"/>
                <w:szCs w:val="24"/>
                <w14:ligatures w14:val="none"/>
              </w:rPr>
              <w:br/>
            </w:r>
            <w:proofErr w:type="spellStart"/>
            <w:r w:rsidRPr="00C95301">
              <w:rPr>
                <w:rFonts w:ascii="宋体" w:eastAsia="宋体" w:hAnsi="宋体" w:cs="宋体"/>
                <w:color w:val="333333"/>
                <w:kern w:val="0"/>
                <w:sz w:val="24"/>
                <w:szCs w:val="24"/>
                <w14:ligatures w14:val="none"/>
              </w:rPr>
              <w:t>Zhenwei</w:t>
            </w:r>
            <w:proofErr w:type="spellEnd"/>
            <w:r w:rsidRPr="00C95301">
              <w:rPr>
                <w:rFonts w:ascii="宋体" w:eastAsia="宋体" w:hAnsi="宋体" w:cs="宋体"/>
                <w:color w:val="333333"/>
                <w:kern w:val="0"/>
                <w:sz w:val="24"/>
                <w:szCs w:val="24"/>
                <w14:ligatures w14:val="none"/>
              </w:rPr>
              <w:t xml:space="preserve"> International Exhibition Group</w:t>
            </w:r>
            <w:r w:rsidRPr="00C95301">
              <w:rPr>
                <w:rFonts w:ascii="宋体" w:eastAsia="宋体" w:hAnsi="宋体" w:cs="宋体"/>
                <w:color w:val="333333"/>
                <w:kern w:val="0"/>
                <w:sz w:val="24"/>
                <w:szCs w:val="24"/>
                <w14:ligatures w14:val="none"/>
              </w:rPr>
              <w:br/>
              <w:t xml:space="preserve">Beijing </w:t>
            </w:r>
            <w:proofErr w:type="spellStart"/>
            <w:r w:rsidRPr="00C95301">
              <w:rPr>
                <w:rFonts w:ascii="宋体" w:eastAsia="宋体" w:hAnsi="宋体" w:cs="宋体"/>
                <w:color w:val="333333"/>
                <w:kern w:val="0"/>
                <w:sz w:val="24"/>
                <w:szCs w:val="24"/>
                <w14:ligatures w14:val="none"/>
              </w:rPr>
              <w:t>Zhenwei</w:t>
            </w:r>
            <w:proofErr w:type="spellEnd"/>
            <w:r w:rsidRPr="00C95301">
              <w:rPr>
                <w:rFonts w:ascii="宋体" w:eastAsia="宋体" w:hAnsi="宋体" w:cs="宋体"/>
                <w:color w:val="333333"/>
                <w:kern w:val="0"/>
                <w:sz w:val="24"/>
                <w:szCs w:val="24"/>
                <w14:ligatures w14:val="none"/>
              </w:rPr>
              <w:t xml:space="preserve"> Exhibition Co., Ltd.</w:t>
            </w:r>
          </w:p>
        </w:tc>
      </w:tr>
      <w:tr w:rsidR="00C95301" w:rsidRPr="00C95301" w14:paraId="53B6E8F9" w14:textId="77777777" w:rsidTr="00C95301">
        <w:tc>
          <w:tcPr>
            <w:tcW w:w="0" w:type="auto"/>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7635FE39"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Organizer:</w:t>
            </w:r>
          </w:p>
        </w:tc>
        <w:tc>
          <w:tcPr>
            <w:tcW w:w="0" w:type="auto"/>
            <w:tcBorders>
              <w:top w:val="single" w:sz="12" w:space="0" w:color="FFFFFF"/>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1066D2F0"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 xml:space="preserve">Beijing </w:t>
            </w:r>
            <w:proofErr w:type="spellStart"/>
            <w:r w:rsidRPr="00C95301">
              <w:rPr>
                <w:rFonts w:ascii="宋体" w:eastAsia="宋体" w:hAnsi="宋体" w:cs="宋体"/>
                <w:color w:val="333333"/>
                <w:kern w:val="0"/>
                <w:sz w:val="24"/>
                <w:szCs w:val="24"/>
                <w14:ligatures w14:val="none"/>
              </w:rPr>
              <w:t>Zhenwei</w:t>
            </w:r>
            <w:proofErr w:type="spellEnd"/>
            <w:r w:rsidRPr="00C95301">
              <w:rPr>
                <w:rFonts w:ascii="宋体" w:eastAsia="宋体" w:hAnsi="宋体" w:cs="宋体"/>
                <w:color w:val="333333"/>
                <w:kern w:val="0"/>
                <w:sz w:val="24"/>
                <w:szCs w:val="24"/>
                <w14:ligatures w14:val="none"/>
              </w:rPr>
              <w:t xml:space="preserve"> Exhibition </w:t>
            </w:r>
            <w:proofErr w:type="spellStart"/>
            <w:proofErr w:type="gramStart"/>
            <w:r w:rsidRPr="00C95301">
              <w:rPr>
                <w:rFonts w:ascii="宋体" w:eastAsia="宋体" w:hAnsi="宋体" w:cs="宋体"/>
                <w:color w:val="333333"/>
                <w:kern w:val="0"/>
                <w:sz w:val="24"/>
                <w:szCs w:val="24"/>
                <w14:ligatures w14:val="none"/>
              </w:rPr>
              <w:t>Co.,Ltd</w:t>
            </w:r>
            <w:proofErr w:type="spellEnd"/>
            <w:proofErr w:type="gramEnd"/>
          </w:p>
        </w:tc>
      </w:tr>
    </w:tbl>
    <w:p w14:paraId="2B14839B" w14:textId="77777777" w:rsidR="00C95301" w:rsidRPr="00C95301" w:rsidRDefault="00C95301" w:rsidP="00C95301">
      <w:pPr>
        <w:widowControl/>
        <w:shd w:val="clear" w:color="auto" w:fill="FFFFFF"/>
        <w:jc w:val="left"/>
        <w:rPr>
          <w:rFonts w:ascii="Arial" w:eastAsia="宋体" w:hAnsi="Arial" w:cs="Arial"/>
          <w:color w:val="666666"/>
          <w:kern w:val="0"/>
          <w:szCs w:val="21"/>
          <w14:ligatures w14:val="none"/>
        </w:rPr>
      </w:pPr>
      <w:r w:rsidRPr="00C95301">
        <w:rPr>
          <w:rFonts w:ascii="Arial" w:eastAsia="宋体" w:hAnsi="Arial" w:cs="Arial"/>
          <w:noProof/>
          <w:color w:val="666666"/>
          <w:kern w:val="0"/>
          <w:szCs w:val="21"/>
          <w14:ligatures w14:val="none"/>
        </w:rPr>
        <w:drawing>
          <wp:inline distT="0" distB="0" distL="0" distR="0" wp14:anchorId="32962198" wp14:editId="4493A57A">
            <wp:extent cx="5712460" cy="2915285"/>
            <wp:effectExtent l="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2460" cy="291528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2226"/>
        <w:gridCol w:w="6380"/>
      </w:tblGrid>
      <w:tr w:rsidR="00C95301" w:rsidRPr="00C95301" w14:paraId="655F35EC" w14:textId="77777777" w:rsidTr="00C95301">
        <w:tc>
          <w:tcPr>
            <w:tcW w:w="0" w:type="auto"/>
            <w:tcBorders>
              <w:top w:val="nil"/>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4D09A168" w14:textId="77777777" w:rsidR="00C95301" w:rsidRPr="00C95301" w:rsidRDefault="00C95301" w:rsidP="00C95301">
            <w:pPr>
              <w:widowControl/>
              <w:spacing w:line="420" w:lineRule="atLeast"/>
              <w:jc w:val="center"/>
              <w:rPr>
                <w:rFonts w:ascii="宋体" w:eastAsia="宋体" w:hAnsi="宋体" w:cs="宋体"/>
                <w:color w:val="333333"/>
                <w:kern w:val="0"/>
                <w:sz w:val="24"/>
                <w:szCs w:val="24"/>
                <w14:ligatures w14:val="none"/>
              </w:rPr>
            </w:pPr>
            <w:r w:rsidRPr="00C95301">
              <w:rPr>
                <w:rFonts w:ascii="宋体" w:eastAsia="宋体" w:hAnsi="宋体" w:cs="宋体"/>
                <w:b/>
                <w:bCs/>
                <w:color w:val="333333"/>
                <w:kern w:val="0"/>
                <w:sz w:val="24"/>
                <w:szCs w:val="24"/>
                <w14:ligatures w14:val="none"/>
              </w:rPr>
              <w:t>Concurrent Exhibitions:</w:t>
            </w:r>
          </w:p>
        </w:tc>
        <w:tc>
          <w:tcPr>
            <w:tcW w:w="0" w:type="auto"/>
            <w:tcBorders>
              <w:top w:val="nil"/>
              <w:left w:val="single" w:sz="12" w:space="0" w:color="FFFFFF"/>
              <w:bottom w:val="single" w:sz="12" w:space="0" w:color="FFFFFF"/>
              <w:right w:val="single" w:sz="12" w:space="0" w:color="FFFFFF"/>
            </w:tcBorders>
            <w:shd w:val="clear" w:color="auto" w:fill="E8F7F6"/>
            <w:tcMar>
              <w:top w:w="150" w:type="dxa"/>
              <w:left w:w="150" w:type="dxa"/>
              <w:bottom w:w="150" w:type="dxa"/>
              <w:right w:w="150" w:type="dxa"/>
            </w:tcMar>
            <w:vAlign w:val="center"/>
            <w:hideMark/>
          </w:tcPr>
          <w:p w14:paraId="0581F34B" w14:textId="77777777" w:rsidR="00C95301" w:rsidRPr="00C95301" w:rsidRDefault="00C95301" w:rsidP="00C95301">
            <w:pPr>
              <w:widowControl/>
              <w:spacing w:line="420" w:lineRule="atLeast"/>
              <w:jc w:val="left"/>
              <w:rPr>
                <w:rFonts w:ascii="宋体" w:eastAsia="宋体" w:hAnsi="宋体" w:cs="宋体"/>
                <w:color w:val="333333"/>
                <w:kern w:val="0"/>
                <w:sz w:val="24"/>
                <w:szCs w:val="24"/>
                <w14:ligatures w14:val="none"/>
              </w:rPr>
            </w:pPr>
            <w:r w:rsidRPr="00C95301">
              <w:rPr>
                <w:rFonts w:ascii="宋体" w:eastAsia="宋体" w:hAnsi="宋体" w:cs="宋体"/>
                <w:color w:val="333333"/>
                <w:kern w:val="0"/>
                <w:sz w:val="24"/>
                <w:szCs w:val="24"/>
                <w14:ligatures w14:val="none"/>
              </w:rPr>
              <w:t>The 24rd China International Petroleum &amp; Petrochemical Technology and Equipment Exhibition (</w:t>
            </w:r>
            <w:proofErr w:type="spellStart"/>
            <w:r w:rsidRPr="00C95301">
              <w:rPr>
                <w:rFonts w:ascii="宋体" w:eastAsia="宋体" w:hAnsi="宋体" w:cs="宋体"/>
                <w:color w:val="333333"/>
                <w:kern w:val="0"/>
                <w:sz w:val="24"/>
                <w:szCs w:val="24"/>
                <w14:ligatures w14:val="none"/>
              </w:rPr>
              <w:t>cippe</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The 24rd Beijing International Offshore Oil &amp; Gas Exhibition (</w:t>
            </w:r>
            <w:proofErr w:type="spellStart"/>
            <w:r w:rsidRPr="00C95301">
              <w:rPr>
                <w:rFonts w:ascii="宋体" w:eastAsia="宋体" w:hAnsi="宋体" w:cs="宋体"/>
                <w:color w:val="333333"/>
                <w:kern w:val="0"/>
                <w:sz w:val="24"/>
                <w:szCs w:val="24"/>
                <w14:ligatures w14:val="none"/>
              </w:rPr>
              <w:t>ciooe</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 xml:space="preserve">The 24rd Beijing International Exhibition on </w:t>
            </w:r>
            <w:r w:rsidRPr="00C95301">
              <w:rPr>
                <w:rFonts w:ascii="宋体" w:eastAsia="宋体" w:hAnsi="宋体" w:cs="宋体"/>
                <w:color w:val="333333"/>
                <w:kern w:val="0"/>
                <w:sz w:val="24"/>
                <w:szCs w:val="24"/>
                <w14:ligatures w14:val="none"/>
              </w:rPr>
              <w:lastRenderedPageBreak/>
              <w:t>Equipment of Pipeline and Oil &amp; Gas Storage and Transportation (CIPE)</w:t>
            </w:r>
            <w:r w:rsidRPr="00C95301">
              <w:rPr>
                <w:rFonts w:ascii="宋体" w:eastAsia="宋体" w:hAnsi="宋体" w:cs="宋体"/>
                <w:color w:val="333333"/>
                <w:kern w:val="0"/>
                <w:sz w:val="24"/>
                <w:szCs w:val="24"/>
                <w14:ligatures w14:val="none"/>
              </w:rPr>
              <w:br/>
              <w:t>The 24rd Beijing International Explosion Proof Electric Technology &amp; Equipment Exhibition (</w:t>
            </w:r>
            <w:proofErr w:type="spellStart"/>
            <w:r w:rsidRPr="00C95301">
              <w:rPr>
                <w:rFonts w:ascii="宋体" w:eastAsia="宋体" w:hAnsi="宋体" w:cs="宋体"/>
                <w:color w:val="333333"/>
                <w:kern w:val="0"/>
                <w:sz w:val="24"/>
                <w:szCs w:val="24"/>
                <w14:ligatures w14:val="none"/>
              </w:rPr>
              <w:t>Expec</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The 14th Beijing International Offshore Engineering Technology &amp; Equipment Exhibition (CM)</w:t>
            </w:r>
            <w:r w:rsidRPr="00C95301">
              <w:rPr>
                <w:rFonts w:ascii="宋体" w:eastAsia="宋体" w:hAnsi="宋体" w:cs="宋体"/>
                <w:color w:val="333333"/>
                <w:kern w:val="0"/>
                <w:sz w:val="24"/>
                <w:szCs w:val="24"/>
                <w14:ligatures w14:val="none"/>
              </w:rPr>
              <w:br/>
              <w:t>The 14th Beijing International Natural Gas Technology and Equipment Exhibition (CING)</w:t>
            </w:r>
            <w:r w:rsidRPr="00C95301">
              <w:rPr>
                <w:rFonts w:ascii="宋体" w:eastAsia="宋体" w:hAnsi="宋体" w:cs="宋体"/>
                <w:color w:val="333333"/>
                <w:kern w:val="0"/>
                <w:sz w:val="24"/>
                <w:szCs w:val="24"/>
                <w14:ligatures w14:val="none"/>
              </w:rPr>
              <w:br/>
              <w:t>The 14th Beijing International Shale Gas Technology and Equipment Exhibition (</w:t>
            </w:r>
            <w:proofErr w:type="spellStart"/>
            <w:r w:rsidRPr="00C95301">
              <w:rPr>
                <w:rFonts w:ascii="宋体" w:eastAsia="宋体" w:hAnsi="宋体" w:cs="宋体"/>
                <w:color w:val="333333"/>
                <w:kern w:val="0"/>
                <w:sz w:val="24"/>
                <w:szCs w:val="24"/>
                <w14:ligatures w14:val="none"/>
              </w:rPr>
              <w:t>cisge</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Beijing International Petroleum &amp; Chemical Automation Technology &amp; Equipment and Instrumentation Exhibition (</w:t>
            </w:r>
            <w:proofErr w:type="spellStart"/>
            <w:r w:rsidRPr="00C95301">
              <w:rPr>
                <w:rFonts w:ascii="宋体" w:eastAsia="宋体" w:hAnsi="宋体" w:cs="宋体"/>
                <w:color w:val="333333"/>
                <w:kern w:val="0"/>
                <w:sz w:val="24"/>
                <w:szCs w:val="24"/>
                <w14:ligatures w14:val="none"/>
              </w:rPr>
              <w:t>cieca</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Beijing International Petroleum and Petrochemical Safety Production Exhibition (</w:t>
            </w:r>
            <w:proofErr w:type="spellStart"/>
            <w:r w:rsidRPr="00C95301">
              <w:rPr>
                <w:rFonts w:ascii="宋体" w:eastAsia="宋体" w:hAnsi="宋体" w:cs="宋体"/>
                <w:color w:val="333333"/>
                <w:kern w:val="0"/>
                <w:sz w:val="24"/>
                <w:szCs w:val="24"/>
                <w14:ligatures w14:val="none"/>
              </w:rPr>
              <w:t>cipse</w:t>
            </w:r>
            <w:proofErr w:type="spellEnd"/>
            <w:r w:rsidRPr="00C95301">
              <w:rPr>
                <w:rFonts w:ascii="宋体" w:eastAsia="宋体" w:hAnsi="宋体" w:cs="宋体"/>
                <w:color w:val="333333"/>
                <w:kern w:val="0"/>
                <w:sz w:val="24"/>
                <w:szCs w:val="24"/>
                <w14:ligatures w14:val="none"/>
              </w:rPr>
              <w:t>)</w:t>
            </w:r>
            <w:r w:rsidRPr="00C95301">
              <w:rPr>
                <w:rFonts w:ascii="宋体" w:eastAsia="宋体" w:hAnsi="宋体" w:cs="宋体"/>
                <w:color w:val="333333"/>
                <w:kern w:val="0"/>
                <w:sz w:val="24"/>
                <w:szCs w:val="24"/>
                <w14:ligatures w14:val="none"/>
              </w:rPr>
              <w:br/>
              <w:t>Beijing International Gas Application and Technical Equipment Exhibition (GAS)</w:t>
            </w:r>
            <w:r w:rsidRPr="00C95301">
              <w:rPr>
                <w:rFonts w:ascii="宋体" w:eastAsia="宋体" w:hAnsi="宋体" w:cs="宋体"/>
                <w:color w:val="333333"/>
                <w:kern w:val="0"/>
                <w:sz w:val="24"/>
                <w:szCs w:val="24"/>
                <w14:ligatures w14:val="none"/>
              </w:rPr>
              <w:br/>
              <w:t>2024 Beijing International Trenchless Technology and Equipment Exhibition (CITTE)</w:t>
            </w:r>
          </w:p>
        </w:tc>
      </w:tr>
    </w:tbl>
    <w:p w14:paraId="10A488FC" w14:textId="77777777" w:rsidR="00C95301" w:rsidRPr="00C95301" w:rsidRDefault="00C95301" w:rsidP="00C95301">
      <w:pPr>
        <w:widowControl/>
        <w:shd w:val="clear" w:color="auto" w:fill="FFFFFF"/>
        <w:jc w:val="center"/>
        <w:rPr>
          <w:rFonts w:ascii="Arial" w:eastAsia="宋体" w:hAnsi="Arial" w:cs="Arial"/>
          <w:b/>
          <w:bCs/>
          <w:color w:val="666666"/>
          <w:kern w:val="0"/>
          <w:sz w:val="42"/>
          <w:szCs w:val="42"/>
          <w14:ligatures w14:val="none"/>
        </w:rPr>
      </w:pPr>
      <w:r w:rsidRPr="00C95301">
        <w:rPr>
          <w:rFonts w:ascii="Arial" w:eastAsia="宋体" w:hAnsi="Arial" w:cs="Arial"/>
          <w:b/>
          <w:bCs/>
          <w:color w:val="666666"/>
          <w:kern w:val="0"/>
          <w:sz w:val="42"/>
          <w:szCs w:val="42"/>
          <w14:ligatures w14:val="none"/>
        </w:rPr>
        <w:lastRenderedPageBreak/>
        <w:t>Introduction</w:t>
      </w:r>
    </w:p>
    <w:p w14:paraId="1327F4C1" w14:textId="77777777" w:rsidR="00C95301" w:rsidRPr="00C95301" w:rsidRDefault="00C95301" w:rsidP="00C95301">
      <w:pPr>
        <w:widowControl/>
        <w:shd w:val="clear" w:color="auto" w:fill="FFFFFF"/>
        <w:spacing w:after="150"/>
        <w:ind w:firstLine="480"/>
        <w:jc w:val="left"/>
        <w:rPr>
          <w:rFonts w:ascii="Arial" w:eastAsia="宋体" w:hAnsi="Arial" w:cs="Arial"/>
          <w:color w:val="666666"/>
          <w:kern w:val="0"/>
          <w:szCs w:val="21"/>
          <w14:ligatures w14:val="none"/>
        </w:rPr>
      </w:pPr>
      <w:r w:rsidRPr="00C95301">
        <w:rPr>
          <w:rFonts w:ascii="Arial" w:eastAsia="宋体" w:hAnsi="Arial" w:cs="Arial"/>
          <w:color w:val="666666"/>
          <w:kern w:val="0"/>
          <w:szCs w:val="21"/>
          <w14:ligatures w14:val="none"/>
        </w:rPr>
        <w:t xml:space="preserve">Hydrogen, as an efficient, clean and sustainable “carbon-free” energy, has gained worldwide attention, dubbed as the 24 </w:t>
      </w:r>
      <w:proofErr w:type="spellStart"/>
      <w:r w:rsidRPr="00C95301">
        <w:rPr>
          <w:rFonts w:ascii="Arial" w:eastAsia="宋体" w:hAnsi="Arial" w:cs="Arial"/>
          <w:color w:val="666666"/>
          <w:kern w:val="0"/>
          <w:szCs w:val="21"/>
          <w14:ligatures w14:val="none"/>
        </w:rPr>
        <w:t>rd</w:t>
      </w:r>
      <w:proofErr w:type="spellEnd"/>
      <w:r w:rsidRPr="00C95301">
        <w:rPr>
          <w:rFonts w:ascii="Arial" w:eastAsia="宋体" w:hAnsi="Arial" w:cs="Arial"/>
          <w:color w:val="666666"/>
          <w:kern w:val="0"/>
          <w:szCs w:val="21"/>
          <w14:ligatures w14:val="none"/>
        </w:rPr>
        <w:t xml:space="preserve">-century energy </w:t>
      </w:r>
      <w:proofErr w:type="gramStart"/>
      <w:r w:rsidRPr="00C95301">
        <w:rPr>
          <w:rFonts w:ascii="Arial" w:eastAsia="宋体" w:hAnsi="Arial" w:cs="Arial"/>
          <w:color w:val="666666"/>
          <w:kern w:val="0"/>
          <w:szCs w:val="21"/>
          <w14:ligatures w14:val="none"/>
        </w:rPr>
        <w:t>source</w:t>
      </w:r>
      <w:proofErr w:type="gramEnd"/>
      <w:r w:rsidRPr="00C95301">
        <w:rPr>
          <w:rFonts w:ascii="Arial" w:eastAsia="宋体" w:hAnsi="Arial" w:cs="Arial"/>
          <w:color w:val="666666"/>
          <w:kern w:val="0"/>
          <w:szCs w:val="21"/>
          <w14:ligatures w14:val="none"/>
        </w:rPr>
        <w:t>. Globally, over 30 countries and regions including China, US, Japan, Korea, Canada and EU members, etc. in recent years have developed roadmap for Hydrogen growth. In view of our national latest energy strategic development landscape, hydrogen energy will have been accounted for 10% - 15% of China's terminal energy system by 2050, constituting a most significant part of our energy strategy.</w:t>
      </w:r>
    </w:p>
    <w:p w14:paraId="7EE55558" w14:textId="77777777" w:rsidR="00C95301" w:rsidRPr="00C95301" w:rsidRDefault="00C95301" w:rsidP="00C95301">
      <w:pPr>
        <w:widowControl/>
        <w:shd w:val="clear" w:color="auto" w:fill="FFFFFF"/>
        <w:spacing w:after="150"/>
        <w:ind w:firstLine="480"/>
        <w:jc w:val="left"/>
        <w:rPr>
          <w:rFonts w:ascii="Arial" w:eastAsia="宋体" w:hAnsi="Arial" w:cs="Arial"/>
          <w:color w:val="666666"/>
          <w:kern w:val="0"/>
          <w:szCs w:val="21"/>
          <w14:ligatures w14:val="none"/>
        </w:rPr>
      </w:pPr>
      <w:r w:rsidRPr="00C95301">
        <w:rPr>
          <w:rFonts w:ascii="Arial" w:eastAsia="宋体" w:hAnsi="Arial" w:cs="Arial"/>
          <w:color w:val="666666"/>
          <w:kern w:val="0"/>
          <w:szCs w:val="21"/>
          <w14:ligatures w14:val="none"/>
        </w:rPr>
        <w:t>In China, there have been nearly 30 provinces (including prefecture level cities) incorporating Hydrogen Industry into the 14th Five-Year Plan with Policy Guidance surpassed 150 drafts. Meanwhile, the industry has gained preference by financial institutions since 2024, and the Hydrogen-craze are increasingly heating up to attract their investments. Expectedly the total investment would exceed CNY 300 billion by 2024, making stride to a value of trillion industry, as the country are ramping up efforts in terms of policy mechanisms.</w:t>
      </w:r>
    </w:p>
    <w:p w14:paraId="3F080AE1" w14:textId="77777777" w:rsidR="00C95301" w:rsidRPr="00C95301" w:rsidRDefault="00C95301" w:rsidP="00C95301">
      <w:pPr>
        <w:widowControl/>
        <w:shd w:val="clear" w:color="auto" w:fill="FFFFFF"/>
        <w:spacing w:after="150"/>
        <w:ind w:firstLine="480"/>
        <w:jc w:val="left"/>
        <w:rPr>
          <w:rFonts w:ascii="Arial" w:eastAsia="宋体" w:hAnsi="Arial" w:cs="Arial"/>
          <w:color w:val="666666"/>
          <w:kern w:val="0"/>
          <w:szCs w:val="21"/>
          <w14:ligatures w14:val="none"/>
        </w:rPr>
      </w:pPr>
      <w:r w:rsidRPr="00C95301">
        <w:rPr>
          <w:rFonts w:ascii="Arial" w:eastAsia="宋体" w:hAnsi="Arial" w:cs="Arial"/>
          <w:color w:val="666666"/>
          <w:kern w:val="0"/>
          <w:szCs w:val="21"/>
          <w14:ligatures w14:val="none"/>
        </w:rPr>
        <w:lastRenderedPageBreak/>
        <w:t xml:space="preserve">Therefore, under such circumstance, HEIE2025, organized by Beijing </w:t>
      </w:r>
      <w:proofErr w:type="spellStart"/>
      <w:r w:rsidRPr="00C95301">
        <w:rPr>
          <w:rFonts w:ascii="Arial" w:eastAsia="宋体" w:hAnsi="Arial" w:cs="Arial"/>
          <w:color w:val="666666"/>
          <w:kern w:val="0"/>
          <w:szCs w:val="21"/>
          <w14:ligatures w14:val="none"/>
        </w:rPr>
        <w:t>Zhenwei</w:t>
      </w:r>
      <w:proofErr w:type="spellEnd"/>
      <w:r w:rsidRPr="00C95301">
        <w:rPr>
          <w:rFonts w:ascii="Arial" w:eastAsia="宋体" w:hAnsi="Arial" w:cs="Arial"/>
          <w:color w:val="666666"/>
          <w:kern w:val="0"/>
          <w:szCs w:val="21"/>
          <w14:ligatures w14:val="none"/>
        </w:rPr>
        <w:t xml:space="preserve"> Exhibition Co., Ltd., will be held through March 26-28,2025 at New China International Exhibition Center, Beijing. The event covers key areas including Hydrogen Production, Storage, Hydrogen Refueling, and Monitoring; Fuel Cells System &amp; Application Achievements; Fuel Cell Key Components and Hydrogen Fuel Vehicles, etc., aiming to build a top international platform for technological exchanges and innovations in the holistic Hydrogen industry chain. Welcome to join us.</w:t>
      </w:r>
    </w:p>
    <w:p w14:paraId="6C528310" w14:textId="77777777" w:rsidR="00C95301" w:rsidRDefault="00C95301">
      <w:pPr>
        <w:rPr>
          <w:rFonts w:hint="eastAsia"/>
        </w:rPr>
      </w:pPr>
    </w:p>
    <w:sectPr w:rsidR="00C95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301"/>
    <w:rsid w:val="0000187B"/>
    <w:rsid w:val="00010A68"/>
    <w:rsid w:val="0002670D"/>
    <w:rsid w:val="00027F41"/>
    <w:rsid w:val="00027F7C"/>
    <w:rsid w:val="0003782B"/>
    <w:rsid w:val="0004651A"/>
    <w:rsid w:val="000520F1"/>
    <w:rsid w:val="00052FE3"/>
    <w:rsid w:val="00062C37"/>
    <w:rsid w:val="00063FE6"/>
    <w:rsid w:val="00082A2B"/>
    <w:rsid w:val="000952B3"/>
    <w:rsid w:val="00095634"/>
    <w:rsid w:val="000A3C31"/>
    <w:rsid w:val="000C37DB"/>
    <w:rsid w:val="000C5F04"/>
    <w:rsid w:val="000E1329"/>
    <w:rsid w:val="000E163E"/>
    <w:rsid w:val="000E39C6"/>
    <w:rsid w:val="000E5DA7"/>
    <w:rsid w:val="000F2C3A"/>
    <w:rsid w:val="000F559A"/>
    <w:rsid w:val="000F7901"/>
    <w:rsid w:val="001011B8"/>
    <w:rsid w:val="00107237"/>
    <w:rsid w:val="00111008"/>
    <w:rsid w:val="00115A15"/>
    <w:rsid w:val="00142B19"/>
    <w:rsid w:val="00150374"/>
    <w:rsid w:val="00151CE9"/>
    <w:rsid w:val="001673B4"/>
    <w:rsid w:val="001675C7"/>
    <w:rsid w:val="001739DC"/>
    <w:rsid w:val="001825AD"/>
    <w:rsid w:val="0018478C"/>
    <w:rsid w:val="00192A51"/>
    <w:rsid w:val="001A1985"/>
    <w:rsid w:val="001B16FD"/>
    <w:rsid w:val="001B1825"/>
    <w:rsid w:val="001B3644"/>
    <w:rsid w:val="001C1D14"/>
    <w:rsid w:val="001D4C0A"/>
    <w:rsid w:val="001D7049"/>
    <w:rsid w:val="001F05C1"/>
    <w:rsid w:val="001F27A3"/>
    <w:rsid w:val="001F3455"/>
    <w:rsid w:val="001F6DAD"/>
    <w:rsid w:val="00200CD9"/>
    <w:rsid w:val="0020120F"/>
    <w:rsid w:val="002015CF"/>
    <w:rsid w:val="00201E84"/>
    <w:rsid w:val="00213BFF"/>
    <w:rsid w:val="002146FF"/>
    <w:rsid w:val="00232864"/>
    <w:rsid w:val="00237747"/>
    <w:rsid w:val="002414BB"/>
    <w:rsid w:val="00251992"/>
    <w:rsid w:val="00264C22"/>
    <w:rsid w:val="00265276"/>
    <w:rsid w:val="00266A9F"/>
    <w:rsid w:val="002722E8"/>
    <w:rsid w:val="00274CB8"/>
    <w:rsid w:val="0027511D"/>
    <w:rsid w:val="00275430"/>
    <w:rsid w:val="002771EB"/>
    <w:rsid w:val="0029512C"/>
    <w:rsid w:val="002A0A4D"/>
    <w:rsid w:val="002A3C3A"/>
    <w:rsid w:val="002A499C"/>
    <w:rsid w:val="002A63CE"/>
    <w:rsid w:val="002B22BE"/>
    <w:rsid w:val="002B22DC"/>
    <w:rsid w:val="002B7E54"/>
    <w:rsid w:val="002C08E8"/>
    <w:rsid w:val="002D2F4B"/>
    <w:rsid w:val="002F026D"/>
    <w:rsid w:val="00303801"/>
    <w:rsid w:val="0036029D"/>
    <w:rsid w:val="003614DE"/>
    <w:rsid w:val="00367F90"/>
    <w:rsid w:val="003724B3"/>
    <w:rsid w:val="00373767"/>
    <w:rsid w:val="0037409E"/>
    <w:rsid w:val="003954B8"/>
    <w:rsid w:val="003A0438"/>
    <w:rsid w:val="003A72FE"/>
    <w:rsid w:val="003A769E"/>
    <w:rsid w:val="003B51A9"/>
    <w:rsid w:val="003C461A"/>
    <w:rsid w:val="003C55BC"/>
    <w:rsid w:val="003E1880"/>
    <w:rsid w:val="003F411A"/>
    <w:rsid w:val="004010C8"/>
    <w:rsid w:val="004039D5"/>
    <w:rsid w:val="00416A8B"/>
    <w:rsid w:val="004202B5"/>
    <w:rsid w:val="00420C3F"/>
    <w:rsid w:val="004307E6"/>
    <w:rsid w:val="004316B3"/>
    <w:rsid w:val="00435A3E"/>
    <w:rsid w:val="00443C28"/>
    <w:rsid w:val="00451F89"/>
    <w:rsid w:val="004552C7"/>
    <w:rsid w:val="004628C1"/>
    <w:rsid w:val="00497051"/>
    <w:rsid w:val="00497725"/>
    <w:rsid w:val="004A34F4"/>
    <w:rsid w:val="004B2189"/>
    <w:rsid w:val="004B7343"/>
    <w:rsid w:val="004C4482"/>
    <w:rsid w:val="004C6957"/>
    <w:rsid w:val="004C7FAE"/>
    <w:rsid w:val="004E7260"/>
    <w:rsid w:val="004F1A22"/>
    <w:rsid w:val="004F2A36"/>
    <w:rsid w:val="004F3032"/>
    <w:rsid w:val="004F3891"/>
    <w:rsid w:val="005004E6"/>
    <w:rsid w:val="00504786"/>
    <w:rsid w:val="00504CAF"/>
    <w:rsid w:val="005152C4"/>
    <w:rsid w:val="005154F7"/>
    <w:rsid w:val="005211D2"/>
    <w:rsid w:val="005343BF"/>
    <w:rsid w:val="00534D7A"/>
    <w:rsid w:val="00534E1B"/>
    <w:rsid w:val="00542AFF"/>
    <w:rsid w:val="005449E1"/>
    <w:rsid w:val="00547026"/>
    <w:rsid w:val="00554E59"/>
    <w:rsid w:val="00565216"/>
    <w:rsid w:val="005663F9"/>
    <w:rsid w:val="0057425B"/>
    <w:rsid w:val="00577A10"/>
    <w:rsid w:val="00580B5A"/>
    <w:rsid w:val="00580CA7"/>
    <w:rsid w:val="00591055"/>
    <w:rsid w:val="00591A2C"/>
    <w:rsid w:val="005A0FA5"/>
    <w:rsid w:val="005B139D"/>
    <w:rsid w:val="005B5D9D"/>
    <w:rsid w:val="005C60D6"/>
    <w:rsid w:val="005C6A4C"/>
    <w:rsid w:val="005D022B"/>
    <w:rsid w:val="005D085E"/>
    <w:rsid w:val="005D1AAF"/>
    <w:rsid w:val="005E105F"/>
    <w:rsid w:val="005F576F"/>
    <w:rsid w:val="006046E0"/>
    <w:rsid w:val="00607247"/>
    <w:rsid w:val="00607368"/>
    <w:rsid w:val="00607E08"/>
    <w:rsid w:val="00610E96"/>
    <w:rsid w:val="0061135E"/>
    <w:rsid w:val="00625F71"/>
    <w:rsid w:val="00630A34"/>
    <w:rsid w:val="00631811"/>
    <w:rsid w:val="006320C7"/>
    <w:rsid w:val="00635242"/>
    <w:rsid w:val="00640760"/>
    <w:rsid w:val="00645980"/>
    <w:rsid w:val="00647ACB"/>
    <w:rsid w:val="00650C1E"/>
    <w:rsid w:val="00653F38"/>
    <w:rsid w:val="00660716"/>
    <w:rsid w:val="00660B42"/>
    <w:rsid w:val="00663384"/>
    <w:rsid w:val="00667A51"/>
    <w:rsid w:val="0067391E"/>
    <w:rsid w:val="006774B8"/>
    <w:rsid w:val="00677523"/>
    <w:rsid w:val="00691DC5"/>
    <w:rsid w:val="006A20AA"/>
    <w:rsid w:val="006A6D0D"/>
    <w:rsid w:val="006A6E82"/>
    <w:rsid w:val="006B0C89"/>
    <w:rsid w:val="006B57B1"/>
    <w:rsid w:val="006C0087"/>
    <w:rsid w:val="006C2918"/>
    <w:rsid w:val="006D103F"/>
    <w:rsid w:val="006D2710"/>
    <w:rsid w:val="006D6AB1"/>
    <w:rsid w:val="006D7F23"/>
    <w:rsid w:val="006F14AD"/>
    <w:rsid w:val="006F4A8E"/>
    <w:rsid w:val="006F59BC"/>
    <w:rsid w:val="006F5CF4"/>
    <w:rsid w:val="00700EB9"/>
    <w:rsid w:val="00734BE0"/>
    <w:rsid w:val="00737502"/>
    <w:rsid w:val="007468FA"/>
    <w:rsid w:val="007574AF"/>
    <w:rsid w:val="007666A2"/>
    <w:rsid w:val="00767EF4"/>
    <w:rsid w:val="007778BF"/>
    <w:rsid w:val="00783885"/>
    <w:rsid w:val="00787597"/>
    <w:rsid w:val="007903A6"/>
    <w:rsid w:val="007A5A88"/>
    <w:rsid w:val="007B6519"/>
    <w:rsid w:val="007C0830"/>
    <w:rsid w:val="007C340F"/>
    <w:rsid w:val="007E530B"/>
    <w:rsid w:val="007F0BCF"/>
    <w:rsid w:val="007F5643"/>
    <w:rsid w:val="007F698B"/>
    <w:rsid w:val="008031CB"/>
    <w:rsid w:val="008077BD"/>
    <w:rsid w:val="00817C3B"/>
    <w:rsid w:val="00821B41"/>
    <w:rsid w:val="0086383C"/>
    <w:rsid w:val="00867E23"/>
    <w:rsid w:val="00874CDC"/>
    <w:rsid w:val="0087658B"/>
    <w:rsid w:val="008824AD"/>
    <w:rsid w:val="00882F58"/>
    <w:rsid w:val="00883197"/>
    <w:rsid w:val="0088437C"/>
    <w:rsid w:val="00884DCF"/>
    <w:rsid w:val="00887600"/>
    <w:rsid w:val="008909BD"/>
    <w:rsid w:val="00890B54"/>
    <w:rsid w:val="008942BD"/>
    <w:rsid w:val="008A04A1"/>
    <w:rsid w:val="008A26C2"/>
    <w:rsid w:val="008B6C8B"/>
    <w:rsid w:val="008C5ABC"/>
    <w:rsid w:val="008D164E"/>
    <w:rsid w:val="008D3C9A"/>
    <w:rsid w:val="008D5FD5"/>
    <w:rsid w:val="008D6CDA"/>
    <w:rsid w:val="008E7310"/>
    <w:rsid w:val="009001C0"/>
    <w:rsid w:val="00902021"/>
    <w:rsid w:val="00904897"/>
    <w:rsid w:val="00904EF3"/>
    <w:rsid w:val="00914044"/>
    <w:rsid w:val="00914F9B"/>
    <w:rsid w:val="00921212"/>
    <w:rsid w:val="00923486"/>
    <w:rsid w:val="00925A34"/>
    <w:rsid w:val="00931204"/>
    <w:rsid w:val="009376D4"/>
    <w:rsid w:val="00956D30"/>
    <w:rsid w:val="00964FDE"/>
    <w:rsid w:val="00967E38"/>
    <w:rsid w:val="00970DE5"/>
    <w:rsid w:val="0097503E"/>
    <w:rsid w:val="00981392"/>
    <w:rsid w:val="00981A98"/>
    <w:rsid w:val="00982B43"/>
    <w:rsid w:val="009867D2"/>
    <w:rsid w:val="009915CD"/>
    <w:rsid w:val="00997A47"/>
    <w:rsid w:val="009A4605"/>
    <w:rsid w:val="009A70EA"/>
    <w:rsid w:val="009C2FE0"/>
    <w:rsid w:val="009C49E6"/>
    <w:rsid w:val="009C746B"/>
    <w:rsid w:val="009D34AA"/>
    <w:rsid w:val="009F7304"/>
    <w:rsid w:val="00A01C2E"/>
    <w:rsid w:val="00A022A1"/>
    <w:rsid w:val="00A05F17"/>
    <w:rsid w:val="00A0608D"/>
    <w:rsid w:val="00A2449C"/>
    <w:rsid w:val="00A304FD"/>
    <w:rsid w:val="00A36333"/>
    <w:rsid w:val="00A40DC0"/>
    <w:rsid w:val="00A4472E"/>
    <w:rsid w:val="00A667E3"/>
    <w:rsid w:val="00A70D02"/>
    <w:rsid w:val="00A7289A"/>
    <w:rsid w:val="00A81411"/>
    <w:rsid w:val="00A8193C"/>
    <w:rsid w:val="00A860CD"/>
    <w:rsid w:val="00A876BB"/>
    <w:rsid w:val="00A90ADF"/>
    <w:rsid w:val="00A95970"/>
    <w:rsid w:val="00AA0F73"/>
    <w:rsid w:val="00AB014C"/>
    <w:rsid w:val="00AB0B09"/>
    <w:rsid w:val="00AC6B86"/>
    <w:rsid w:val="00AD0B08"/>
    <w:rsid w:val="00AF2001"/>
    <w:rsid w:val="00B0050E"/>
    <w:rsid w:val="00B05D6F"/>
    <w:rsid w:val="00B12692"/>
    <w:rsid w:val="00B147A5"/>
    <w:rsid w:val="00B33921"/>
    <w:rsid w:val="00B4034E"/>
    <w:rsid w:val="00B40BDA"/>
    <w:rsid w:val="00B47B94"/>
    <w:rsid w:val="00B52B6E"/>
    <w:rsid w:val="00B7124A"/>
    <w:rsid w:val="00BA16D3"/>
    <w:rsid w:val="00BB3C09"/>
    <w:rsid w:val="00BD449A"/>
    <w:rsid w:val="00BE0AAE"/>
    <w:rsid w:val="00BF3944"/>
    <w:rsid w:val="00C032E0"/>
    <w:rsid w:val="00C0652A"/>
    <w:rsid w:val="00C12ED4"/>
    <w:rsid w:val="00C33480"/>
    <w:rsid w:val="00C44074"/>
    <w:rsid w:val="00C50635"/>
    <w:rsid w:val="00C719DB"/>
    <w:rsid w:val="00C8743C"/>
    <w:rsid w:val="00C95301"/>
    <w:rsid w:val="00CA06F0"/>
    <w:rsid w:val="00CA2950"/>
    <w:rsid w:val="00CB5A58"/>
    <w:rsid w:val="00CB6D3B"/>
    <w:rsid w:val="00CC4470"/>
    <w:rsid w:val="00CC5D58"/>
    <w:rsid w:val="00CC7FB1"/>
    <w:rsid w:val="00CD6B7B"/>
    <w:rsid w:val="00CE2639"/>
    <w:rsid w:val="00CF5656"/>
    <w:rsid w:val="00CF77FC"/>
    <w:rsid w:val="00D01CB8"/>
    <w:rsid w:val="00D06EBB"/>
    <w:rsid w:val="00D14602"/>
    <w:rsid w:val="00D1553D"/>
    <w:rsid w:val="00D230F8"/>
    <w:rsid w:val="00D31550"/>
    <w:rsid w:val="00D775E9"/>
    <w:rsid w:val="00D93E1D"/>
    <w:rsid w:val="00D952D3"/>
    <w:rsid w:val="00DA2F1F"/>
    <w:rsid w:val="00DA441F"/>
    <w:rsid w:val="00DA5F80"/>
    <w:rsid w:val="00DB3228"/>
    <w:rsid w:val="00DB75AB"/>
    <w:rsid w:val="00DB7725"/>
    <w:rsid w:val="00DC2590"/>
    <w:rsid w:val="00DC469B"/>
    <w:rsid w:val="00DD1BD9"/>
    <w:rsid w:val="00DD234A"/>
    <w:rsid w:val="00DD5E8D"/>
    <w:rsid w:val="00DE4C9A"/>
    <w:rsid w:val="00DE670B"/>
    <w:rsid w:val="00DE7CF4"/>
    <w:rsid w:val="00DF2723"/>
    <w:rsid w:val="00DF4F3E"/>
    <w:rsid w:val="00DF5107"/>
    <w:rsid w:val="00E009EB"/>
    <w:rsid w:val="00E0207E"/>
    <w:rsid w:val="00E26016"/>
    <w:rsid w:val="00E35258"/>
    <w:rsid w:val="00E5025E"/>
    <w:rsid w:val="00E5445F"/>
    <w:rsid w:val="00E578A5"/>
    <w:rsid w:val="00E707D6"/>
    <w:rsid w:val="00E72DE9"/>
    <w:rsid w:val="00E83F99"/>
    <w:rsid w:val="00E905C3"/>
    <w:rsid w:val="00E91888"/>
    <w:rsid w:val="00EA03AA"/>
    <w:rsid w:val="00EA0ED7"/>
    <w:rsid w:val="00EA3B28"/>
    <w:rsid w:val="00EA5284"/>
    <w:rsid w:val="00EA535C"/>
    <w:rsid w:val="00EB5D92"/>
    <w:rsid w:val="00EB6A0B"/>
    <w:rsid w:val="00EC7B02"/>
    <w:rsid w:val="00ED0D79"/>
    <w:rsid w:val="00EE045C"/>
    <w:rsid w:val="00EF1DC0"/>
    <w:rsid w:val="00EF4AFC"/>
    <w:rsid w:val="00F05D78"/>
    <w:rsid w:val="00F07D41"/>
    <w:rsid w:val="00F13C54"/>
    <w:rsid w:val="00F20C06"/>
    <w:rsid w:val="00F21A8E"/>
    <w:rsid w:val="00F22133"/>
    <w:rsid w:val="00F36FAC"/>
    <w:rsid w:val="00F42B52"/>
    <w:rsid w:val="00F44977"/>
    <w:rsid w:val="00F44C54"/>
    <w:rsid w:val="00F45B68"/>
    <w:rsid w:val="00F62EA1"/>
    <w:rsid w:val="00F63ACC"/>
    <w:rsid w:val="00F81064"/>
    <w:rsid w:val="00F9284E"/>
    <w:rsid w:val="00FB1550"/>
    <w:rsid w:val="00FB2FC8"/>
    <w:rsid w:val="00FB3F22"/>
    <w:rsid w:val="00FC12E9"/>
    <w:rsid w:val="00FC31BA"/>
    <w:rsid w:val="00FC31E4"/>
    <w:rsid w:val="00FC6BEF"/>
    <w:rsid w:val="00FD0193"/>
    <w:rsid w:val="00FD348D"/>
    <w:rsid w:val="00FE061B"/>
    <w:rsid w:val="00FE5803"/>
    <w:rsid w:val="00FF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E8C8"/>
  <w15:chartTrackingRefBased/>
  <w15:docId w15:val="{6D0F8932-9152-432C-A697-0D0A029D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5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30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9530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3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3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9530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301"/>
    <w:rPr>
      <w:rFonts w:cstheme="majorBidi"/>
      <w:color w:val="2F5496" w:themeColor="accent1" w:themeShade="BF"/>
      <w:sz w:val="28"/>
      <w:szCs w:val="28"/>
    </w:rPr>
  </w:style>
  <w:style w:type="character" w:customStyle="1" w:styleId="50">
    <w:name w:val="标题 5 字符"/>
    <w:basedOn w:val="a0"/>
    <w:link w:val="5"/>
    <w:uiPriority w:val="9"/>
    <w:semiHidden/>
    <w:rsid w:val="00C95301"/>
    <w:rPr>
      <w:rFonts w:cstheme="majorBidi"/>
      <w:color w:val="2F5496" w:themeColor="accent1" w:themeShade="BF"/>
      <w:sz w:val="24"/>
      <w:szCs w:val="24"/>
    </w:rPr>
  </w:style>
  <w:style w:type="character" w:customStyle="1" w:styleId="60">
    <w:name w:val="标题 6 字符"/>
    <w:basedOn w:val="a0"/>
    <w:link w:val="6"/>
    <w:uiPriority w:val="9"/>
    <w:semiHidden/>
    <w:rsid w:val="00C95301"/>
    <w:rPr>
      <w:rFonts w:cstheme="majorBidi"/>
      <w:b/>
      <w:bCs/>
      <w:color w:val="2F5496" w:themeColor="accent1" w:themeShade="BF"/>
    </w:rPr>
  </w:style>
  <w:style w:type="character" w:customStyle="1" w:styleId="70">
    <w:name w:val="标题 7 字符"/>
    <w:basedOn w:val="a0"/>
    <w:link w:val="7"/>
    <w:uiPriority w:val="9"/>
    <w:semiHidden/>
    <w:rsid w:val="00C95301"/>
    <w:rPr>
      <w:rFonts w:cstheme="majorBidi"/>
      <w:b/>
      <w:bCs/>
      <w:color w:val="595959" w:themeColor="text1" w:themeTint="A6"/>
    </w:rPr>
  </w:style>
  <w:style w:type="character" w:customStyle="1" w:styleId="80">
    <w:name w:val="标题 8 字符"/>
    <w:basedOn w:val="a0"/>
    <w:link w:val="8"/>
    <w:uiPriority w:val="9"/>
    <w:semiHidden/>
    <w:rsid w:val="00C95301"/>
    <w:rPr>
      <w:rFonts w:cstheme="majorBidi"/>
      <w:color w:val="595959" w:themeColor="text1" w:themeTint="A6"/>
    </w:rPr>
  </w:style>
  <w:style w:type="character" w:customStyle="1" w:styleId="90">
    <w:name w:val="标题 9 字符"/>
    <w:basedOn w:val="a0"/>
    <w:link w:val="9"/>
    <w:uiPriority w:val="9"/>
    <w:semiHidden/>
    <w:rsid w:val="00C95301"/>
    <w:rPr>
      <w:rFonts w:eastAsiaTheme="majorEastAsia" w:cstheme="majorBidi"/>
      <w:color w:val="595959" w:themeColor="text1" w:themeTint="A6"/>
    </w:rPr>
  </w:style>
  <w:style w:type="paragraph" w:styleId="a3">
    <w:name w:val="Title"/>
    <w:basedOn w:val="a"/>
    <w:next w:val="a"/>
    <w:link w:val="a4"/>
    <w:uiPriority w:val="10"/>
    <w:qFormat/>
    <w:rsid w:val="00C953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3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301"/>
    <w:pPr>
      <w:spacing w:before="160" w:after="160"/>
      <w:jc w:val="center"/>
    </w:pPr>
    <w:rPr>
      <w:i/>
      <w:iCs/>
      <w:color w:val="404040" w:themeColor="text1" w:themeTint="BF"/>
    </w:rPr>
  </w:style>
  <w:style w:type="character" w:customStyle="1" w:styleId="a8">
    <w:name w:val="引用 字符"/>
    <w:basedOn w:val="a0"/>
    <w:link w:val="a7"/>
    <w:uiPriority w:val="29"/>
    <w:rsid w:val="00C95301"/>
    <w:rPr>
      <w:i/>
      <w:iCs/>
      <w:color w:val="404040" w:themeColor="text1" w:themeTint="BF"/>
    </w:rPr>
  </w:style>
  <w:style w:type="paragraph" w:styleId="a9">
    <w:name w:val="List Paragraph"/>
    <w:basedOn w:val="a"/>
    <w:uiPriority w:val="34"/>
    <w:qFormat/>
    <w:rsid w:val="00C95301"/>
    <w:pPr>
      <w:ind w:left="720"/>
      <w:contextualSpacing/>
    </w:pPr>
  </w:style>
  <w:style w:type="character" w:styleId="aa">
    <w:name w:val="Intense Emphasis"/>
    <w:basedOn w:val="a0"/>
    <w:uiPriority w:val="21"/>
    <w:qFormat/>
    <w:rsid w:val="00C95301"/>
    <w:rPr>
      <w:i/>
      <w:iCs/>
      <w:color w:val="2F5496" w:themeColor="accent1" w:themeShade="BF"/>
    </w:rPr>
  </w:style>
  <w:style w:type="paragraph" w:styleId="ab">
    <w:name w:val="Intense Quote"/>
    <w:basedOn w:val="a"/>
    <w:next w:val="a"/>
    <w:link w:val="ac"/>
    <w:uiPriority w:val="30"/>
    <w:qFormat/>
    <w:rsid w:val="00C95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301"/>
    <w:rPr>
      <w:i/>
      <w:iCs/>
      <w:color w:val="2F5496" w:themeColor="accent1" w:themeShade="BF"/>
    </w:rPr>
  </w:style>
  <w:style w:type="character" w:styleId="ad">
    <w:name w:val="Intense Reference"/>
    <w:basedOn w:val="a0"/>
    <w:uiPriority w:val="32"/>
    <w:qFormat/>
    <w:rsid w:val="00C95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5126">
      <w:bodyDiv w:val="1"/>
      <w:marLeft w:val="0"/>
      <w:marRight w:val="0"/>
      <w:marTop w:val="0"/>
      <w:marBottom w:val="0"/>
      <w:divBdr>
        <w:top w:val="none" w:sz="0" w:space="0" w:color="auto"/>
        <w:left w:val="none" w:sz="0" w:space="0" w:color="auto"/>
        <w:bottom w:val="none" w:sz="0" w:space="0" w:color="auto"/>
        <w:right w:val="none" w:sz="0" w:space="0" w:color="auto"/>
      </w:divBdr>
      <w:divsChild>
        <w:div w:id="584385480">
          <w:marLeft w:val="0"/>
          <w:marRight w:val="0"/>
          <w:marTop w:val="600"/>
          <w:marBottom w:val="600"/>
          <w:divBdr>
            <w:top w:val="none" w:sz="0" w:space="0" w:color="auto"/>
            <w:left w:val="none" w:sz="0" w:space="0" w:color="auto"/>
            <w:bottom w:val="none" w:sz="0" w:space="0" w:color="auto"/>
            <w:right w:val="none" w:sz="0" w:space="0" w:color="auto"/>
          </w:divBdr>
        </w:div>
        <w:div w:id="2109154382">
          <w:marLeft w:val="0"/>
          <w:marRight w:val="0"/>
          <w:marTop w:val="0"/>
          <w:marBottom w:val="0"/>
          <w:divBdr>
            <w:top w:val="none" w:sz="0" w:space="0" w:color="auto"/>
            <w:left w:val="none" w:sz="0" w:space="0" w:color="auto"/>
            <w:bottom w:val="none" w:sz="0" w:space="0" w:color="auto"/>
            <w:right w:val="none" w:sz="0" w:space="0" w:color="auto"/>
          </w:divBdr>
          <w:divsChild>
            <w:div w:id="350382060">
              <w:marLeft w:val="0"/>
              <w:marRight w:val="0"/>
              <w:marTop w:val="0"/>
              <w:marBottom w:val="0"/>
              <w:divBdr>
                <w:top w:val="none" w:sz="0" w:space="0" w:color="auto"/>
                <w:left w:val="none" w:sz="0" w:space="0" w:color="auto"/>
                <w:bottom w:val="none" w:sz="0" w:space="0" w:color="auto"/>
                <w:right w:val="none" w:sz="0" w:space="0" w:color="auto"/>
              </w:divBdr>
              <w:divsChild>
                <w:div w:id="818882166">
                  <w:marLeft w:val="0"/>
                  <w:marRight w:val="0"/>
                  <w:marTop w:val="0"/>
                  <w:marBottom w:val="0"/>
                  <w:divBdr>
                    <w:top w:val="none" w:sz="0" w:space="0" w:color="auto"/>
                    <w:left w:val="none" w:sz="0" w:space="0" w:color="auto"/>
                    <w:bottom w:val="none" w:sz="0" w:space="0" w:color="auto"/>
                    <w:right w:val="none" w:sz="0" w:space="0" w:color="auto"/>
                  </w:divBdr>
                </w:div>
              </w:divsChild>
            </w:div>
            <w:div w:id="1858734354">
              <w:marLeft w:val="0"/>
              <w:marRight w:val="0"/>
              <w:marTop w:val="0"/>
              <w:marBottom w:val="0"/>
              <w:divBdr>
                <w:top w:val="none" w:sz="0" w:space="0" w:color="auto"/>
                <w:left w:val="none" w:sz="0" w:space="0" w:color="auto"/>
                <w:bottom w:val="none" w:sz="0" w:space="0" w:color="auto"/>
                <w:right w:val="none" w:sz="0" w:space="0" w:color="auto"/>
              </w:divBdr>
            </w:div>
          </w:divsChild>
        </w:div>
        <w:div w:id="787821603">
          <w:marLeft w:val="0"/>
          <w:marRight w:val="0"/>
          <w:marTop w:val="0"/>
          <w:marBottom w:val="0"/>
          <w:divBdr>
            <w:top w:val="none" w:sz="0" w:space="0" w:color="auto"/>
            <w:left w:val="none" w:sz="0" w:space="0" w:color="auto"/>
            <w:bottom w:val="none" w:sz="0" w:space="0" w:color="auto"/>
            <w:right w:val="none" w:sz="0" w:space="0" w:color="auto"/>
          </w:divBdr>
        </w:div>
        <w:div w:id="123543698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wen</dc:creator>
  <cp:keywords/>
  <dc:description/>
  <cp:lastModifiedBy>lu wen</cp:lastModifiedBy>
  <cp:revision>1</cp:revision>
  <dcterms:created xsi:type="dcterms:W3CDTF">2025-03-06T01:50:00Z</dcterms:created>
  <dcterms:modified xsi:type="dcterms:W3CDTF">2025-03-06T01:50:00Z</dcterms:modified>
</cp:coreProperties>
</file>